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5BF5" w:rsidRPr="00A15BF5" w:rsidRDefault="00A15BF5" w:rsidP="00A15BF5">
      <w:pPr>
        <w:jc w:val="center"/>
        <w:rPr>
          <w:rFonts w:ascii="Arial" w:hAnsi="Arial" w:cs="Arial"/>
          <w:b/>
        </w:rPr>
      </w:pPr>
      <w:r w:rsidRPr="00A15BF5">
        <w:rPr>
          <w:rFonts w:ascii="Arial" w:hAnsi="Arial" w:cs="Arial"/>
          <w:b/>
        </w:rPr>
        <w:t>BEFORE THE ODISHA ELECTRICITY REGULATORY COMMISSION, BIDYUT NIYAMAK BHAWAN, Unit-VIII, BHUBANESWAR</w:t>
      </w:r>
    </w:p>
    <w:p w:rsidR="00A15BF5" w:rsidRPr="00A15BF5" w:rsidRDefault="00A15BF5" w:rsidP="00A15BF5">
      <w:pPr>
        <w:tabs>
          <w:tab w:val="left" w:pos="7110"/>
        </w:tabs>
        <w:jc w:val="right"/>
        <w:rPr>
          <w:rFonts w:ascii="Arial" w:hAnsi="Arial" w:cs="Arial"/>
          <w:b/>
          <w:u w:val="single"/>
        </w:rPr>
      </w:pPr>
      <w:r w:rsidRPr="00A15BF5">
        <w:rPr>
          <w:rFonts w:ascii="Arial" w:hAnsi="Arial" w:cs="Arial"/>
        </w:rPr>
        <w:t xml:space="preserve">                                                                                        </w:t>
      </w:r>
      <w:r w:rsidRPr="00A15BF5">
        <w:rPr>
          <w:rFonts w:ascii="Arial" w:hAnsi="Arial" w:cs="Arial"/>
          <w:b/>
          <w:u w:val="single"/>
        </w:rPr>
        <w:t>Case No. 105/2012</w:t>
      </w:r>
    </w:p>
    <w:p w:rsidR="00B87F6B" w:rsidRPr="00A15BF5" w:rsidRDefault="00B87F6B" w:rsidP="00B87F6B">
      <w:pPr>
        <w:pStyle w:val="BodyTextIndent2"/>
        <w:spacing w:line="276" w:lineRule="auto"/>
        <w:ind w:left="2880" w:hanging="2880"/>
        <w:jc w:val="both"/>
        <w:rPr>
          <w:rFonts w:ascii="Arial" w:hAnsi="Arial" w:cs="Arial"/>
          <w:b/>
          <w:sz w:val="22"/>
          <w:szCs w:val="22"/>
        </w:rPr>
      </w:pPr>
      <w:r w:rsidRPr="00A15BF5">
        <w:rPr>
          <w:rFonts w:ascii="Arial" w:hAnsi="Arial" w:cs="Arial"/>
          <w:b/>
          <w:sz w:val="22"/>
          <w:szCs w:val="22"/>
        </w:rPr>
        <w:t xml:space="preserve">IN THE MATTER OF:  </w:t>
      </w:r>
      <w:r w:rsidRPr="00A15BF5">
        <w:rPr>
          <w:rFonts w:ascii="Arial" w:hAnsi="Arial" w:cs="Arial"/>
          <w:sz w:val="22"/>
          <w:szCs w:val="22"/>
        </w:rPr>
        <w:t>North Eastern Electricity Supply Company of Orissa Limited (NESCO</w:t>
      </w:r>
    </w:p>
    <w:p w:rsidR="00C72E53" w:rsidRDefault="00C72E53" w:rsidP="00B87F6B">
      <w:pPr>
        <w:ind w:left="1980" w:firstLine="720"/>
        <w:jc w:val="both"/>
        <w:rPr>
          <w:rFonts w:ascii="Arial" w:hAnsi="Arial" w:cs="Arial"/>
        </w:rPr>
      </w:pPr>
    </w:p>
    <w:p w:rsidR="00B87F6B" w:rsidRPr="00A15BF5" w:rsidRDefault="00B87F6B" w:rsidP="00B87F6B">
      <w:pPr>
        <w:ind w:left="1980" w:firstLine="720"/>
        <w:jc w:val="both"/>
        <w:rPr>
          <w:rFonts w:ascii="Arial" w:hAnsi="Arial" w:cs="Arial"/>
          <w:b/>
          <w:bCs/>
        </w:rPr>
      </w:pPr>
      <w:r w:rsidRPr="00A15BF5">
        <w:rPr>
          <w:rFonts w:ascii="Arial" w:hAnsi="Arial" w:cs="Arial"/>
        </w:rPr>
        <w:t xml:space="preserve">    </w:t>
      </w:r>
      <w:r w:rsidRPr="00A15BF5">
        <w:rPr>
          <w:rFonts w:ascii="Arial" w:hAnsi="Arial" w:cs="Arial"/>
          <w:b/>
          <w:bCs/>
        </w:rPr>
        <w:t>AND</w:t>
      </w:r>
    </w:p>
    <w:p w:rsidR="006232D6" w:rsidRDefault="006232D6" w:rsidP="006232D6">
      <w:pPr>
        <w:spacing w:line="240" w:lineRule="auto"/>
        <w:ind w:left="2880" w:hanging="2880"/>
        <w:jc w:val="both"/>
        <w:rPr>
          <w:rFonts w:ascii="Arial" w:hAnsi="Arial" w:cs="Arial"/>
          <w:b/>
        </w:rPr>
      </w:pPr>
      <w:r>
        <w:rPr>
          <w:rFonts w:ascii="Arial" w:hAnsi="Arial" w:cs="Arial"/>
          <w:b/>
        </w:rPr>
        <w:t xml:space="preserve">IN THE MATTER OF: </w:t>
      </w:r>
      <w:r w:rsidR="00C72E53">
        <w:rPr>
          <w:rFonts w:ascii="Arial" w:hAnsi="Arial" w:cs="Arial"/>
          <w:b/>
        </w:rPr>
        <w:t xml:space="preserve">MV </w:t>
      </w:r>
      <w:proofErr w:type="spellStart"/>
      <w:r w:rsidR="00C72E53">
        <w:rPr>
          <w:rFonts w:ascii="Arial" w:hAnsi="Arial" w:cs="Arial"/>
          <w:b/>
        </w:rPr>
        <w:t>Rao</w:t>
      </w:r>
      <w:proofErr w:type="spellEnd"/>
      <w:r w:rsidR="00C72E53">
        <w:rPr>
          <w:rFonts w:ascii="Arial" w:hAnsi="Arial" w:cs="Arial"/>
          <w:b/>
        </w:rPr>
        <w:t xml:space="preserve">, </w:t>
      </w:r>
      <w:r>
        <w:rPr>
          <w:rFonts w:ascii="Arial" w:hAnsi="Arial" w:cs="Arial"/>
          <w:b/>
        </w:rPr>
        <w:t xml:space="preserve">on behalf of </w:t>
      </w:r>
      <w:r w:rsidR="00C72E53">
        <w:rPr>
          <w:rFonts w:ascii="Arial" w:hAnsi="Arial" w:cs="Arial"/>
          <w:b/>
        </w:rPr>
        <w:t>Ferro Alloys Corporation Ltd, Bhubaneswar</w:t>
      </w:r>
    </w:p>
    <w:p w:rsidR="00B87F6B" w:rsidRDefault="006232D6" w:rsidP="006232D6">
      <w:pPr>
        <w:spacing w:line="240" w:lineRule="auto"/>
        <w:ind w:left="2880" w:hanging="2880"/>
        <w:jc w:val="center"/>
        <w:rPr>
          <w:rFonts w:ascii="Arial" w:hAnsi="Arial" w:cs="Arial"/>
          <w:b/>
        </w:rPr>
      </w:pPr>
      <w:r>
        <w:rPr>
          <w:rFonts w:ascii="Arial" w:hAnsi="Arial" w:cs="Arial"/>
          <w:b/>
        </w:rPr>
        <w:t>AND</w:t>
      </w:r>
    </w:p>
    <w:p w:rsidR="006232D6" w:rsidRPr="00A15BF5" w:rsidRDefault="006232D6" w:rsidP="006232D6">
      <w:pPr>
        <w:spacing w:line="240" w:lineRule="auto"/>
        <w:ind w:left="2880" w:hanging="2880"/>
        <w:jc w:val="center"/>
        <w:rPr>
          <w:rFonts w:ascii="Arial" w:hAnsi="Arial" w:cs="Arial"/>
          <w:b/>
        </w:rPr>
      </w:pPr>
      <w:r>
        <w:rPr>
          <w:rFonts w:ascii="Arial" w:hAnsi="Arial" w:cs="Arial"/>
          <w:b/>
        </w:rPr>
        <w:t xml:space="preserve">MV </w:t>
      </w:r>
      <w:proofErr w:type="spellStart"/>
      <w:r>
        <w:rPr>
          <w:rFonts w:ascii="Arial" w:hAnsi="Arial" w:cs="Arial"/>
          <w:b/>
        </w:rPr>
        <w:t>Rao</w:t>
      </w:r>
      <w:proofErr w:type="spellEnd"/>
      <w:r>
        <w:rPr>
          <w:rFonts w:ascii="Arial" w:hAnsi="Arial" w:cs="Arial"/>
          <w:b/>
        </w:rPr>
        <w:t xml:space="preserve">, Convenor of Energy Panel of Confederation of Indian Industry, Bhubaneswar </w:t>
      </w:r>
    </w:p>
    <w:p w:rsidR="00B87F6B" w:rsidRPr="00C72E53" w:rsidRDefault="00B87F6B" w:rsidP="00B87F6B">
      <w:pPr>
        <w:jc w:val="both"/>
        <w:rPr>
          <w:rFonts w:ascii="Arial" w:hAnsi="Arial" w:cs="Arial"/>
          <w:b/>
          <w:u w:val="single"/>
        </w:rPr>
      </w:pPr>
      <w:r w:rsidRPr="00C72E53">
        <w:rPr>
          <w:rFonts w:ascii="Arial" w:hAnsi="Arial" w:cs="Arial"/>
          <w:b/>
          <w:u w:val="single"/>
        </w:rPr>
        <w:t xml:space="preserve">Rejoinder to the objection filed by </w:t>
      </w:r>
      <w:r w:rsidR="00C72E53" w:rsidRPr="00C72E53">
        <w:rPr>
          <w:rFonts w:ascii="Arial" w:hAnsi="Arial" w:cs="Arial"/>
          <w:b/>
          <w:u w:val="single"/>
        </w:rPr>
        <w:t xml:space="preserve">MV </w:t>
      </w:r>
      <w:proofErr w:type="spellStart"/>
      <w:r w:rsidR="00C72E53" w:rsidRPr="00C72E53">
        <w:rPr>
          <w:rFonts w:ascii="Arial" w:hAnsi="Arial" w:cs="Arial"/>
          <w:b/>
          <w:u w:val="single"/>
        </w:rPr>
        <w:t>Rao</w:t>
      </w:r>
      <w:proofErr w:type="spellEnd"/>
      <w:r w:rsidR="00C72E53" w:rsidRPr="00C72E53">
        <w:rPr>
          <w:rFonts w:ascii="Arial" w:hAnsi="Arial" w:cs="Arial"/>
          <w:b/>
          <w:u w:val="single"/>
        </w:rPr>
        <w:t xml:space="preserve">, Ferro Alloys Corporation Ltd, Bhubaneswar </w:t>
      </w:r>
      <w:r w:rsidRPr="00C72E53">
        <w:rPr>
          <w:rFonts w:ascii="Arial" w:hAnsi="Arial" w:cs="Arial"/>
          <w:b/>
          <w:u w:val="single"/>
        </w:rPr>
        <w:t>against the Annual Revenue Requirement &amp; Retail Supply Tariff Application filed by NESCO for the year 2013-14</w:t>
      </w:r>
    </w:p>
    <w:p w:rsidR="00F37DEE" w:rsidRPr="00A15BF5" w:rsidRDefault="00F37DEE" w:rsidP="00A15BF5">
      <w:pPr>
        <w:pStyle w:val="ListParagraph"/>
        <w:numPr>
          <w:ilvl w:val="0"/>
          <w:numId w:val="1"/>
        </w:numPr>
        <w:tabs>
          <w:tab w:val="left" w:pos="0"/>
        </w:tabs>
        <w:spacing w:after="0" w:line="240" w:lineRule="auto"/>
        <w:jc w:val="both"/>
        <w:rPr>
          <w:rFonts w:ascii="Arial" w:hAnsi="Arial" w:cs="Arial"/>
          <w:b/>
        </w:rPr>
      </w:pPr>
      <w:r w:rsidRPr="00A15BF5">
        <w:rPr>
          <w:rFonts w:ascii="Arial" w:hAnsi="Arial" w:cs="Arial"/>
          <w:b/>
        </w:rPr>
        <w:t>Distribution Loss :</w:t>
      </w:r>
    </w:p>
    <w:p w:rsidR="00F37DEE" w:rsidRPr="00A15BF5" w:rsidRDefault="00F37DEE" w:rsidP="00A15BF5">
      <w:pPr>
        <w:tabs>
          <w:tab w:val="left" w:pos="0"/>
        </w:tabs>
        <w:spacing w:after="0" w:line="240" w:lineRule="auto"/>
        <w:jc w:val="both"/>
        <w:rPr>
          <w:rFonts w:ascii="Arial" w:hAnsi="Arial" w:cs="Arial"/>
          <w:b/>
        </w:rPr>
      </w:pPr>
      <w:r w:rsidRPr="00A15BF5">
        <w:rPr>
          <w:rFonts w:ascii="Arial" w:hAnsi="Arial" w:cs="Arial"/>
          <w:b/>
        </w:rPr>
        <w:tab/>
      </w:r>
    </w:p>
    <w:p w:rsidR="00F32C26" w:rsidRPr="00A15BF5" w:rsidRDefault="00F32C26" w:rsidP="00A15BF5">
      <w:pPr>
        <w:pStyle w:val="NoSpacing"/>
        <w:ind w:left="567" w:firstLine="63"/>
        <w:jc w:val="both"/>
        <w:rPr>
          <w:rFonts w:ascii="Arial" w:hAnsi="Arial" w:cs="Arial"/>
        </w:rPr>
      </w:pPr>
      <w:r w:rsidRPr="00A15BF5">
        <w:rPr>
          <w:rFonts w:ascii="Arial" w:hAnsi="Arial" w:cs="Arial"/>
        </w:rPr>
        <w:t xml:space="preserve">Hon’ble Commission is approving the Distribution loss of the licensee on normative </w:t>
      </w:r>
      <w:r w:rsidR="00A15BF5">
        <w:rPr>
          <w:rFonts w:ascii="Arial" w:hAnsi="Arial" w:cs="Arial"/>
        </w:rPr>
        <w:t xml:space="preserve">  </w:t>
      </w:r>
      <w:r w:rsidRPr="00A15BF5">
        <w:rPr>
          <w:rFonts w:ascii="Arial" w:hAnsi="Arial" w:cs="Arial"/>
        </w:rPr>
        <w:t>basis without considering the ground reality.</w:t>
      </w:r>
      <w:r w:rsidR="00E9025E" w:rsidRPr="00A15BF5">
        <w:rPr>
          <w:rFonts w:ascii="Arial" w:hAnsi="Arial" w:cs="Arial"/>
        </w:rPr>
        <w:t xml:space="preserve">  </w:t>
      </w:r>
      <w:r w:rsidRPr="00A15BF5">
        <w:rPr>
          <w:rFonts w:ascii="Arial" w:hAnsi="Arial" w:cs="Arial"/>
        </w:rPr>
        <w:t xml:space="preserve"> The T&amp;D loss target is need to be re</w:t>
      </w:r>
      <w:r w:rsidR="00E9025E" w:rsidRPr="00A15BF5">
        <w:rPr>
          <w:rFonts w:ascii="Arial" w:hAnsi="Arial" w:cs="Arial"/>
        </w:rPr>
        <w:t xml:space="preserve">- </w:t>
      </w:r>
      <w:r w:rsidRPr="00A15BF5">
        <w:rPr>
          <w:rFonts w:ascii="Arial" w:hAnsi="Arial" w:cs="Arial"/>
        </w:rPr>
        <w:t xml:space="preserve">determined considering the detail submission made by the licensee in </w:t>
      </w:r>
      <w:proofErr w:type="spellStart"/>
      <w:r w:rsidRPr="00A15BF5">
        <w:rPr>
          <w:rFonts w:ascii="Arial" w:hAnsi="Arial" w:cs="Arial"/>
        </w:rPr>
        <w:t>para</w:t>
      </w:r>
      <w:proofErr w:type="spellEnd"/>
      <w:r w:rsidRPr="00A15BF5">
        <w:rPr>
          <w:rFonts w:ascii="Arial" w:hAnsi="Arial" w:cs="Arial"/>
        </w:rPr>
        <w:t xml:space="preserve"> 2.4 of its ARR application</w:t>
      </w:r>
      <w:r w:rsidR="00A15BF5">
        <w:rPr>
          <w:rFonts w:ascii="Arial" w:hAnsi="Arial" w:cs="Arial"/>
        </w:rPr>
        <w:t>.</w:t>
      </w:r>
    </w:p>
    <w:p w:rsidR="00F37DEE" w:rsidRPr="00A15BF5" w:rsidRDefault="00F37DEE" w:rsidP="00A15BF5">
      <w:pPr>
        <w:spacing w:line="240" w:lineRule="auto"/>
        <w:ind w:left="630" w:firstLine="63"/>
        <w:jc w:val="both"/>
        <w:rPr>
          <w:rFonts w:ascii="Arial" w:hAnsi="Arial" w:cs="Arial"/>
        </w:rPr>
      </w:pPr>
      <w:r w:rsidRPr="00A15BF5">
        <w:rPr>
          <w:rFonts w:ascii="Arial" w:hAnsi="Arial" w:cs="Arial"/>
        </w:rPr>
        <w:t xml:space="preserve">Further no power supply is being given without a correct meter. </w:t>
      </w:r>
      <w:r w:rsidR="00D3103D" w:rsidRPr="00A15BF5">
        <w:rPr>
          <w:rFonts w:ascii="Arial" w:hAnsi="Arial" w:cs="Arial"/>
        </w:rPr>
        <w:t>Replacements of meters are</w:t>
      </w:r>
      <w:r w:rsidR="00F32C26" w:rsidRPr="00A15BF5">
        <w:rPr>
          <w:rFonts w:ascii="Arial" w:hAnsi="Arial" w:cs="Arial"/>
        </w:rPr>
        <w:t xml:space="preserve"> being regularly made considering the fund availability of the licensee. Further, provision for procurement of meters under Capex scheme has also been made during the ensuing year.</w:t>
      </w:r>
    </w:p>
    <w:p w:rsidR="00B87F6B" w:rsidRPr="00A15BF5" w:rsidRDefault="00B87F6B" w:rsidP="00D3103D">
      <w:pPr>
        <w:numPr>
          <w:ilvl w:val="0"/>
          <w:numId w:val="1"/>
        </w:numPr>
        <w:tabs>
          <w:tab w:val="num" w:pos="90"/>
        </w:tabs>
        <w:spacing w:after="0" w:line="240" w:lineRule="auto"/>
        <w:ind w:left="0" w:firstLine="270"/>
        <w:jc w:val="both"/>
        <w:rPr>
          <w:rFonts w:ascii="Arial" w:hAnsi="Arial" w:cs="Arial"/>
          <w:b/>
        </w:rPr>
      </w:pPr>
      <w:r w:rsidRPr="00A15BF5">
        <w:rPr>
          <w:rFonts w:ascii="Arial" w:hAnsi="Arial" w:cs="Arial"/>
          <w:b/>
        </w:rPr>
        <w:t xml:space="preserve">Introduction of </w:t>
      </w:r>
      <w:proofErr w:type="spellStart"/>
      <w:r w:rsidRPr="00A15BF5">
        <w:rPr>
          <w:rFonts w:ascii="Arial" w:hAnsi="Arial" w:cs="Arial"/>
          <w:b/>
        </w:rPr>
        <w:t>KVAh</w:t>
      </w:r>
      <w:proofErr w:type="spellEnd"/>
      <w:r w:rsidRPr="00A15BF5">
        <w:rPr>
          <w:rFonts w:ascii="Arial" w:hAnsi="Arial" w:cs="Arial"/>
          <w:b/>
        </w:rPr>
        <w:t xml:space="preserve"> Billing</w:t>
      </w:r>
    </w:p>
    <w:p w:rsidR="00B87F6B" w:rsidRPr="00A15BF5" w:rsidRDefault="00B87F6B" w:rsidP="00A15BF5">
      <w:pPr>
        <w:autoSpaceDE w:val="0"/>
        <w:autoSpaceDN w:val="0"/>
        <w:adjustRightInd w:val="0"/>
        <w:spacing w:line="240" w:lineRule="auto"/>
        <w:ind w:left="709"/>
        <w:jc w:val="both"/>
        <w:rPr>
          <w:rFonts w:ascii="Arial" w:hAnsi="Arial" w:cs="Arial"/>
          <w:b/>
        </w:rPr>
      </w:pPr>
      <w:r w:rsidRPr="00A15BF5">
        <w:rPr>
          <w:rFonts w:ascii="Arial" w:hAnsi="Arial" w:cs="Arial"/>
        </w:rPr>
        <w:t xml:space="preserve">The Licensee proposes </w:t>
      </w:r>
      <w:proofErr w:type="spellStart"/>
      <w:r w:rsidRPr="00A15BF5">
        <w:rPr>
          <w:rFonts w:ascii="Arial" w:hAnsi="Arial" w:cs="Arial"/>
        </w:rPr>
        <w:t>KVAh</w:t>
      </w:r>
      <w:proofErr w:type="spellEnd"/>
      <w:r w:rsidRPr="00A15BF5">
        <w:rPr>
          <w:rFonts w:ascii="Arial" w:hAnsi="Arial" w:cs="Arial"/>
        </w:rPr>
        <w:t xml:space="preserve"> billing in place of KWh Billing for computation of energy charges and </w:t>
      </w:r>
      <w:proofErr w:type="gramStart"/>
      <w:r w:rsidRPr="00A15BF5">
        <w:rPr>
          <w:rFonts w:ascii="Arial" w:hAnsi="Arial" w:cs="Arial"/>
        </w:rPr>
        <w:t>remove</w:t>
      </w:r>
      <w:proofErr w:type="gramEnd"/>
      <w:r w:rsidRPr="00A15BF5">
        <w:rPr>
          <w:rFonts w:ascii="Arial" w:hAnsi="Arial" w:cs="Arial"/>
        </w:rPr>
        <w:t xml:space="preserve"> the present applicable power factor penalty clauses for FY 2012-13. The objective of introduction of KVAH billing is to ensure reduction in line losses which occurs due to low power </w:t>
      </w:r>
      <w:r w:rsidR="00D3103D" w:rsidRPr="00A15BF5">
        <w:rPr>
          <w:rFonts w:ascii="Arial" w:hAnsi="Arial" w:cs="Arial"/>
        </w:rPr>
        <w:t xml:space="preserve">factor. </w:t>
      </w:r>
      <w:r w:rsidRPr="00A15BF5">
        <w:rPr>
          <w:rFonts w:ascii="Arial" w:hAnsi="Arial" w:cs="Arial"/>
        </w:rPr>
        <w:t xml:space="preserve">The </w:t>
      </w:r>
      <w:r w:rsidR="00D3103D" w:rsidRPr="00A15BF5">
        <w:rPr>
          <w:rFonts w:ascii="Arial" w:hAnsi="Arial" w:cs="Arial"/>
        </w:rPr>
        <w:t>licensee therefore expects</w:t>
      </w:r>
      <w:r w:rsidRPr="00A15BF5">
        <w:rPr>
          <w:rFonts w:ascii="Arial" w:hAnsi="Arial" w:cs="Arial"/>
        </w:rPr>
        <w:t xml:space="preserve"> the consumers to have unit power </w:t>
      </w:r>
      <w:r w:rsidR="00D3103D" w:rsidRPr="00A15BF5">
        <w:rPr>
          <w:rFonts w:ascii="Arial" w:hAnsi="Arial" w:cs="Arial"/>
        </w:rPr>
        <w:t xml:space="preserve">factor. </w:t>
      </w:r>
      <w:r w:rsidRPr="00A15BF5">
        <w:rPr>
          <w:rFonts w:ascii="Arial" w:hAnsi="Arial" w:cs="Arial"/>
        </w:rPr>
        <w:t xml:space="preserve">In case of </w:t>
      </w:r>
      <w:proofErr w:type="gramStart"/>
      <w:r w:rsidRPr="00A15BF5">
        <w:rPr>
          <w:rFonts w:ascii="Arial" w:hAnsi="Arial" w:cs="Arial"/>
        </w:rPr>
        <w:t>Over</w:t>
      </w:r>
      <w:proofErr w:type="gramEnd"/>
      <w:r w:rsidRPr="00A15BF5">
        <w:rPr>
          <w:rFonts w:ascii="Arial" w:hAnsi="Arial" w:cs="Arial"/>
        </w:rPr>
        <w:t xml:space="preserve"> compensation of </w:t>
      </w:r>
      <w:r w:rsidR="00D3103D" w:rsidRPr="00A15BF5">
        <w:rPr>
          <w:rFonts w:ascii="Arial" w:hAnsi="Arial" w:cs="Arial"/>
        </w:rPr>
        <w:t>the Power</w:t>
      </w:r>
      <w:r w:rsidRPr="00A15BF5">
        <w:rPr>
          <w:rFonts w:ascii="Arial" w:hAnsi="Arial" w:cs="Arial"/>
        </w:rPr>
        <w:t xml:space="preserve"> factor by the consumer and case a leading power factor situation arises there might be some impact on the line loss. The objective of </w:t>
      </w:r>
      <w:proofErr w:type="spellStart"/>
      <w:r w:rsidRPr="00A15BF5">
        <w:rPr>
          <w:rFonts w:ascii="Arial" w:hAnsi="Arial" w:cs="Arial"/>
        </w:rPr>
        <w:t>KVAh</w:t>
      </w:r>
      <w:proofErr w:type="spellEnd"/>
      <w:r w:rsidRPr="00A15BF5">
        <w:rPr>
          <w:rFonts w:ascii="Arial" w:hAnsi="Arial" w:cs="Arial"/>
        </w:rPr>
        <w:t xml:space="preserve"> based billing is for encouraging the consumers to maintain near unit Power </w:t>
      </w:r>
      <w:r w:rsidR="00D3103D" w:rsidRPr="00A15BF5">
        <w:rPr>
          <w:rFonts w:ascii="Arial" w:hAnsi="Arial" w:cs="Arial"/>
        </w:rPr>
        <w:t xml:space="preserve">factor. </w:t>
      </w:r>
      <w:r w:rsidRPr="00A15BF5">
        <w:rPr>
          <w:rFonts w:ascii="Arial" w:hAnsi="Arial" w:cs="Arial"/>
        </w:rPr>
        <w:t>The Present three part tariff structure for large consumers would be replaced by two part tariff with forfeiture of power factor tariff.</w:t>
      </w:r>
    </w:p>
    <w:p w:rsidR="00B87F6B" w:rsidRPr="00A15BF5" w:rsidRDefault="00B87F6B" w:rsidP="00A15BF5">
      <w:pPr>
        <w:autoSpaceDE w:val="0"/>
        <w:autoSpaceDN w:val="0"/>
        <w:adjustRightInd w:val="0"/>
        <w:spacing w:after="100" w:afterAutospacing="1" w:line="240" w:lineRule="auto"/>
        <w:ind w:left="709"/>
        <w:jc w:val="both"/>
        <w:rPr>
          <w:rFonts w:ascii="Arial" w:hAnsi="Arial" w:cs="Arial"/>
        </w:rPr>
      </w:pPr>
      <w:r w:rsidRPr="00A15BF5">
        <w:rPr>
          <w:rFonts w:ascii="Arial" w:hAnsi="Arial" w:cs="Arial"/>
        </w:rPr>
        <w:t>There is no such regulation for billing on the basis of Graded Slab method. So, no such amendment is required in the OERC Regulation. The same can be dealt through tariff determination process.</w:t>
      </w:r>
    </w:p>
    <w:p w:rsidR="00B87F6B" w:rsidRPr="00A15BF5" w:rsidRDefault="00B87F6B" w:rsidP="00D3103D">
      <w:pPr>
        <w:numPr>
          <w:ilvl w:val="0"/>
          <w:numId w:val="1"/>
        </w:numPr>
        <w:tabs>
          <w:tab w:val="num" w:pos="90"/>
        </w:tabs>
        <w:spacing w:after="0" w:line="240" w:lineRule="auto"/>
        <w:ind w:left="0" w:firstLine="270"/>
        <w:jc w:val="both"/>
        <w:rPr>
          <w:rFonts w:ascii="Arial" w:hAnsi="Arial" w:cs="Arial"/>
          <w:b/>
        </w:rPr>
      </w:pPr>
      <w:r w:rsidRPr="00A15BF5">
        <w:rPr>
          <w:rFonts w:ascii="Arial" w:hAnsi="Arial" w:cs="Arial"/>
          <w:b/>
        </w:rPr>
        <w:t xml:space="preserve">Emergency Power Supply to CGP </w:t>
      </w:r>
    </w:p>
    <w:p w:rsidR="00B87F6B" w:rsidRPr="00A15BF5" w:rsidRDefault="00B87F6B" w:rsidP="006232D6">
      <w:pPr>
        <w:spacing w:after="0" w:line="240" w:lineRule="auto"/>
        <w:ind w:left="720" w:hanging="153"/>
        <w:jc w:val="both"/>
        <w:rPr>
          <w:rFonts w:ascii="Arial" w:hAnsi="Arial" w:cs="Arial"/>
        </w:rPr>
      </w:pPr>
      <w:r w:rsidRPr="00A15BF5">
        <w:rPr>
          <w:rFonts w:ascii="Arial" w:hAnsi="Arial" w:cs="Arial"/>
          <w:b/>
        </w:rPr>
        <w:t xml:space="preserve">  </w:t>
      </w:r>
      <w:r w:rsidRPr="00A15BF5">
        <w:rPr>
          <w:rFonts w:ascii="Arial" w:hAnsi="Arial" w:cs="Arial"/>
        </w:rPr>
        <w:t xml:space="preserve">The regulation provides </w:t>
      </w:r>
      <w:r w:rsidR="00D3103D" w:rsidRPr="00A15BF5">
        <w:rPr>
          <w:rFonts w:ascii="Arial" w:hAnsi="Arial" w:cs="Arial"/>
        </w:rPr>
        <w:t>that,</w:t>
      </w:r>
      <w:r w:rsidRPr="00A15BF5">
        <w:rPr>
          <w:rFonts w:ascii="Arial" w:hAnsi="Arial" w:cs="Arial"/>
        </w:rPr>
        <w:t xml:space="preserve"> this category of consumers can draw power for start –up or to meet their essential auxiliary and survival requirements, in the event of failure of their generation capacity. However, no where under the regulation the consumer has </w:t>
      </w:r>
      <w:r w:rsidR="00C72E53" w:rsidRPr="00A15BF5">
        <w:rPr>
          <w:rFonts w:ascii="Arial" w:hAnsi="Arial" w:cs="Arial"/>
        </w:rPr>
        <w:t>been permitted to</w:t>
      </w:r>
      <w:r w:rsidRPr="00A15BF5">
        <w:rPr>
          <w:rFonts w:ascii="Arial" w:hAnsi="Arial" w:cs="Arial"/>
        </w:rPr>
        <w:t xml:space="preserve"> run the industry for maintaining its normal </w:t>
      </w:r>
      <w:r w:rsidR="00C72E53" w:rsidRPr="00A15BF5">
        <w:rPr>
          <w:rFonts w:ascii="Arial" w:hAnsi="Arial" w:cs="Arial"/>
        </w:rPr>
        <w:t>production with</w:t>
      </w:r>
      <w:r w:rsidRPr="00A15BF5">
        <w:rPr>
          <w:rFonts w:ascii="Arial" w:hAnsi="Arial" w:cs="Arial"/>
        </w:rPr>
        <w:t xml:space="preserve"> the Emergency Power, the consumer has been allowed to avail only the essential survival loads.</w:t>
      </w:r>
    </w:p>
    <w:p w:rsidR="00B87F6B" w:rsidRDefault="00B87F6B" w:rsidP="00A15BF5">
      <w:pPr>
        <w:spacing w:after="0" w:line="240" w:lineRule="auto"/>
        <w:ind w:left="720"/>
        <w:jc w:val="both"/>
        <w:rPr>
          <w:rFonts w:ascii="Arial" w:hAnsi="Arial" w:cs="Arial"/>
        </w:rPr>
      </w:pPr>
      <w:r w:rsidRPr="00A15BF5">
        <w:rPr>
          <w:rFonts w:ascii="Arial" w:hAnsi="Arial" w:cs="Arial"/>
        </w:rPr>
        <w:lastRenderedPageBreak/>
        <w:t>The contention of the objector is not true, the power supply under Emergency Supply is meant to start up the Generator(s) and to provide the essential survival loads not to maintain the plant operation like production</w:t>
      </w:r>
      <w:r w:rsidR="00A15BF5">
        <w:rPr>
          <w:rFonts w:ascii="Arial" w:hAnsi="Arial" w:cs="Arial"/>
        </w:rPr>
        <w:t>.</w:t>
      </w:r>
      <w:r w:rsidRPr="00A15BF5">
        <w:rPr>
          <w:rFonts w:ascii="Arial" w:hAnsi="Arial" w:cs="Arial"/>
        </w:rPr>
        <w:tab/>
        <w:t xml:space="preserve">Regulation 80(15) does not say that the consumer under this category will not pay the Demand charges. It has been noticed and adequate data has been submitted before Hon’ble Commission </w:t>
      </w:r>
      <w:proofErr w:type="gramStart"/>
      <w:r w:rsidRPr="00A15BF5">
        <w:rPr>
          <w:rFonts w:ascii="Arial" w:hAnsi="Arial" w:cs="Arial"/>
        </w:rPr>
        <w:t>that Industries</w:t>
      </w:r>
      <w:proofErr w:type="gramEnd"/>
      <w:r w:rsidRPr="00A15BF5">
        <w:rPr>
          <w:rFonts w:ascii="Arial" w:hAnsi="Arial" w:cs="Arial"/>
        </w:rPr>
        <w:t xml:space="preserve"> those who have taken only for Emergency purposes they are consuming power in a regular manner even though the quantum of drawl is less. That means the industries are deliberately opting for Emergency power supply to avoid fixed cost.</w:t>
      </w:r>
    </w:p>
    <w:p w:rsidR="006232D6" w:rsidRPr="00A15BF5" w:rsidRDefault="006232D6" w:rsidP="00A15BF5">
      <w:pPr>
        <w:spacing w:after="0" w:line="240" w:lineRule="auto"/>
        <w:ind w:left="720"/>
        <w:jc w:val="both"/>
        <w:rPr>
          <w:rFonts w:ascii="Arial" w:hAnsi="Arial" w:cs="Arial"/>
        </w:rPr>
      </w:pPr>
    </w:p>
    <w:p w:rsidR="00B87F6B" w:rsidRPr="00A15BF5" w:rsidRDefault="00B87F6B" w:rsidP="00D3103D">
      <w:pPr>
        <w:pStyle w:val="ListParagraph"/>
        <w:numPr>
          <w:ilvl w:val="0"/>
          <w:numId w:val="1"/>
        </w:numPr>
        <w:spacing w:after="0" w:line="240" w:lineRule="auto"/>
        <w:jc w:val="both"/>
        <w:rPr>
          <w:rFonts w:ascii="Arial" w:hAnsi="Arial" w:cs="Arial"/>
          <w:b/>
        </w:rPr>
      </w:pPr>
      <w:r w:rsidRPr="00A15BF5">
        <w:rPr>
          <w:rFonts w:ascii="Arial" w:hAnsi="Arial" w:cs="Arial"/>
          <w:b/>
        </w:rPr>
        <w:t xml:space="preserve">Discontinuance of LF Incentive : </w:t>
      </w:r>
    </w:p>
    <w:p w:rsidR="00B87F6B" w:rsidRPr="00A15BF5" w:rsidRDefault="00B87F6B" w:rsidP="00A15BF5">
      <w:pPr>
        <w:pStyle w:val="ListParagraph"/>
        <w:spacing w:after="0" w:line="240" w:lineRule="auto"/>
        <w:ind w:left="630"/>
        <w:jc w:val="both"/>
        <w:rPr>
          <w:rFonts w:ascii="Arial" w:hAnsi="Arial" w:cs="Arial"/>
        </w:rPr>
      </w:pPr>
      <w:r w:rsidRPr="00A15BF5">
        <w:rPr>
          <w:rFonts w:ascii="Arial" w:hAnsi="Arial" w:cs="Arial"/>
        </w:rPr>
        <w:t xml:space="preserve">The objection needs to go through the section 62(3) of IE Act in its true spirit. The section 62(3) provides </w:t>
      </w:r>
    </w:p>
    <w:p w:rsidR="00B87F6B" w:rsidRPr="00A15BF5" w:rsidRDefault="00B87F6B" w:rsidP="00A15BF5">
      <w:pPr>
        <w:pStyle w:val="ListParagraph"/>
        <w:spacing w:after="0" w:line="240" w:lineRule="auto"/>
        <w:ind w:left="630"/>
        <w:jc w:val="both"/>
        <w:rPr>
          <w:rFonts w:ascii="Arial" w:hAnsi="Arial" w:cs="Arial"/>
        </w:rPr>
      </w:pPr>
      <w:proofErr w:type="gramStart"/>
      <w:r w:rsidRPr="00A15BF5">
        <w:rPr>
          <w:rFonts w:ascii="Arial" w:hAnsi="Arial" w:cs="Arial"/>
        </w:rPr>
        <w:t>Quote :</w:t>
      </w:r>
      <w:proofErr w:type="gramEnd"/>
      <w:r w:rsidRPr="00A15BF5">
        <w:rPr>
          <w:rFonts w:ascii="Arial" w:hAnsi="Arial" w:cs="Arial"/>
        </w:rPr>
        <w:t xml:space="preserve"> “ The Appropriate Commission shall not , while determining the tariff under this Act, show undue preference to any consumer of electricity but may differentiate according to the consumer’s load factor , power factor, voltage, total consumption of electricity during any specified period or the time at which the supply is required or the geographical position of any area, the nature of supply and the purpose for which the supply is required. “</w:t>
      </w:r>
    </w:p>
    <w:p w:rsidR="00B87F6B" w:rsidRPr="00A15BF5" w:rsidRDefault="00B87F6B" w:rsidP="00A15BF5">
      <w:pPr>
        <w:pStyle w:val="ListParagraph"/>
        <w:spacing w:after="0" w:line="240" w:lineRule="auto"/>
        <w:ind w:left="630" w:hanging="63"/>
        <w:jc w:val="both"/>
        <w:rPr>
          <w:rFonts w:ascii="Arial" w:hAnsi="Arial" w:cs="Arial"/>
        </w:rPr>
      </w:pPr>
      <w:r w:rsidRPr="00A15BF5">
        <w:rPr>
          <w:rFonts w:ascii="Arial" w:hAnsi="Arial" w:cs="Arial"/>
        </w:rPr>
        <w:t xml:space="preserve"> It is only the Hon’ble Commission to decide the applicability or </w:t>
      </w:r>
      <w:proofErr w:type="spellStart"/>
      <w:proofErr w:type="gramStart"/>
      <w:r w:rsidRPr="00A15BF5">
        <w:rPr>
          <w:rFonts w:ascii="Arial" w:hAnsi="Arial" w:cs="Arial"/>
        </w:rPr>
        <w:t>withdrawl</w:t>
      </w:r>
      <w:proofErr w:type="spellEnd"/>
      <w:r w:rsidRPr="00A15BF5">
        <w:rPr>
          <w:rFonts w:ascii="Arial" w:hAnsi="Arial" w:cs="Arial"/>
        </w:rPr>
        <w:t xml:space="preserve">  of</w:t>
      </w:r>
      <w:proofErr w:type="gramEnd"/>
      <w:r w:rsidRPr="00A15BF5">
        <w:rPr>
          <w:rFonts w:ascii="Arial" w:hAnsi="Arial" w:cs="Arial"/>
        </w:rPr>
        <w:t xml:space="preserve"> the incentive scheme during the Financial Year  2013-14 in the context of the present power scenario and tariff  requirements. </w:t>
      </w:r>
    </w:p>
    <w:p w:rsidR="00B87F6B" w:rsidRPr="00A15BF5" w:rsidRDefault="00B87F6B" w:rsidP="00A15BF5">
      <w:pPr>
        <w:spacing w:line="240" w:lineRule="auto"/>
        <w:ind w:left="709" w:hanging="630"/>
        <w:jc w:val="both"/>
        <w:rPr>
          <w:rFonts w:ascii="Arial" w:hAnsi="Arial" w:cs="Arial"/>
        </w:rPr>
      </w:pPr>
      <w:r w:rsidRPr="00A15BF5">
        <w:rPr>
          <w:rFonts w:ascii="Arial" w:hAnsi="Arial" w:cs="Arial"/>
        </w:rPr>
        <w:tab/>
        <w:t>The reason of discontinuance of LF incentive has been clearly submitted in the ARR application of the licensee. The scenario when LF incentive was introduced during that period abundant power was available in Odisha, now the situation has changed. Accordingly the submission made by NESCO for discontinuation of Incentive tariff is quite justified.</w:t>
      </w:r>
    </w:p>
    <w:p w:rsidR="00B87F6B" w:rsidRPr="00A15BF5" w:rsidRDefault="00D3103D" w:rsidP="00D3103D">
      <w:pPr>
        <w:spacing w:line="240" w:lineRule="auto"/>
        <w:ind w:left="709" w:hanging="439"/>
        <w:jc w:val="both"/>
        <w:rPr>
          <w:rFonts w:ascii="Arial" w:hAnsi="Arial" w:cs="Arial"/>
          <w:b/>
        </w:rPr>
      </w:pPr>
      <w:r>
        <w:rPr>
          <w:rFonts w:ascii="Arial" w:hAnsi="Arial" w:cs="Arial"/>
          <w:b/>
        </w:rPr>
        <w:t>5.</w:t>
      </w:r>
      <w:r w:rsidR="00B87F6B" w:rsidRPr="00A15BF5">
        <w:rPr>
          <w:rFonts w:ascii="Arial" w:hAnsi="Arial" w:cs="Arial"/>
          <w:b/>
        </w:rPr>
        <w:tab/>
        <w:t>Discontinuance of ‘Take or Pay Tariff’</w:t>
      </w:r>
    </w:p>
    <w:p w:rsidR="00B87F6B" w:rsidRPr="00A15BF5" w:rsidRDefault="00B87F6B" w:rsidP="00A15BF5">
      <w:pPr>
        <w:spacing w:line="240" w:lineRule="auto"/>
        <w:ind w:left="709" w:hanging="709"/>
        <w:jc w:val="both"/>
        <w:rPr>
          <w:rFonts w:ascii="Arial" w:hAnsi="Arial" w:cs="Arial"/>
          <w:b/>
        </w:rPr>
      </w:pPr>
      <w:r w:rsidRPr="00A15BF5">
        <w:rPr>
          <w:rFonts w:ascii="Arial" w:hAnsi="Arial" w:cs="Arial"/>
        </w:rPr>
        <w:tab/>
        <w:t xml:space="preserve">Moreover, the idea of introduction of ‘Take or Pay’ tariff was to encourage the consumers with low load factor to draw power at higher load factor and thereby avail special rebate. This would have been win-win situation for both the consumers and NESCO. Whereas in actual none of the consumer enhanced their consumption to avail the said benefit, instead the consumers who were already drawing power at load factor more than 80% in the FY 2011-12 got this benefit in addition to graded slab benefit without any increase in their load factor. </w:t>
      </w:r>
    </w:p>
    <w:p w:rsidR="00B87F6B" w:rsidRPr="00A15BF5" w:rsidRDefault="00B87F6B" w:rsidP="00A15BF5">
      <w:pPr>
        <w:spacing w:after="0" w:line="240" w:lineRule="auto"/>
        <w:ind w:left="709"/>
        <w:jc w:val="both"/>
        <w:rPr>
          <w:rFonts w:ascii="Arial" w:hAnsi="Arial" w:cs="Arial"/>
          <w:b/>
        </w:rPr>
      </w:pPr>
      <w:r w:rsidRPr="00A15BF5">
        <w:rPr>
          <w:rFonts w:ascii="Arial" w:hAnsi="Arial" w:cs="Arial"/>
        </w:rPr>
        <w:t>The reason of discontinuance of Take or Pay tariff has been narrated in the ARR application. As per introduction of ‘Assured Energy’ concept no such industries are coming forward to avail the same. That means in the previous method there was no such efficiency gain they were benefited because of Commission’s order only. The purpose of take or pay tariff was defeated in case of old method.</w:t>
      </w:r>
    </w:p>
    <w:p w:rsidR="00B87F6B" w:rsidRPr="00A15BF5" w:rsidRDefault="00B87F6B" w:rsidP="00A15BF5">
      <w:pPr>
        <w:tabs>
          <w:tab w:val="left" w:pos="0"/>
        </w:tabs>
        <w:spacing w:after="0" w:line="240" w:lineRule="auto"/>
        <w:ind w:left="709" w:hanging="709"/>
        <w:jc w:val="both"/>
        <w:rPr>
          <w:rFonts w:ascii="Arial" w:hAnsi="Arial" w:cs="Arial"/>
          <w:b/>
        </w:rPr>
      </w:pPr>
    </w:p>
    <w:p w:rsidR="00B87F6B" w:rsidRPr="00D3103D" w:rsidRDefault="00D3103D" w:rsidP="00D3103D">
      <w:pPr>
        <w:pStyle w:val="ListParagraph"/>
        <w:numPr>
          <w:ilvl w:val="0"/>
          <w:numId w:val="4"/>
        </w:numPr>
        <w:autoSpaceDE w:val="0"/>
        <w:autoSpaceDN w:val="0"/>
        <w:adjustRightInd w:val="0"/>
        <w:spacing w:after="0" w:line="240" w:lineRule="auto"/>
        <w:ind w:left="720" w:hanging="450"/>
        <w:jc w:val="both"/>
        <w:rPr>
          <w:rFonts w:ascii="Arial" w:hAnsi="Arial" w:cs="Arial"/>
        </w:rPr>
      </w:pPr>
      <w:r w:rsidRPr="00D3103D">
        <w:rPr>
          <w:rFonts w:ascii="Arial" w:hAnsi="Arial" w:cs="Arial"/>
        </w:rPr>
        <w:t>That, the reply to the queries of the Hon’ble OERC regarding the Annual Revenue Requirement &amp; Retail Supply Tariff Application filed by NESCO for the year 2013-14 has</w:t>
      </w:r>
      <w:r w:rsidR="00B87F6B" w:rsidRPr="00D3103D">
        <w:rPr>
          <w:rFonts w:ascii="Arial" w:hAnsi="Arial" w:cs="Arial"/>
        </w:rPr>
        <w:t xml:space="preserve"> been placed in NESCO website </w:t>
      </w:r>
      <w:hyperlink r:id="rId5" w:history="1">
        <w:r w:rsidR="00B87F6B" w:rsidRPr="00D3103D">
          <w:rPr>
            <w:rStyle w:val="Hyperlink"/>
            <w:rFonts w:ascii="Arial" w:hAnsi="Arial" w:cs="Arial"/>
          </w:rPr>
          <w:t>www.nescoodisha.com</w:t>
        </w:r>
      </w:hyperlink>
      <w:r w:rsidR="00B87F6B" w:rsidRPr="00D3103D">
        <w:rPr>
          <w:rFonts w:ascii="Arial" w:hAnsi="Arial" w:cs="Arial"/>
        </w:rPr>
        <w:t>, which may please be referred by the objector for further clarification.</w:t>
      </w:r>
    </w:p>
    <w:p w:rsidR="00A15BF5" w:rsidRPr="00135689" w:rsidRDefault="00A15BF5" w:rsidP="00A15BF5">
      <w:pPr>
        <w:pStyle w:val="NoSpacing"/>
        <w:ind w:left="5760"/>
        <w:rPr>
          <w:rFonts w:ascii="Arial" w:hAnsi="Arial" w:cs="Arial"/>
        </w:rPr>
      </w:pPr>
      <w:r w:rsidRPr="00135689">
        <w:rPr>
          <w:rFonts w:ascii="Arial" w:hAnsi="Arial" w:cs="Arial"/>
        </w:rPr>
        <w:t xml:space="preserve">For and on behalf of   </w:t>
      </w:r>
    </w:p>
    <w:p w:rsidR="00A15BF5" w:rsidRPr="00135689" w:rsidRDefault="00A15BF5" w:rsidP="00A15BF5">
      <w:pPr>
        <w:pStyle w:val="NoSpacing"/>
        <w:rPr>
          <w:rFonts w:ascii="Arial" w:hAnsi="Arial" w:cs="Arial"/>
        </w:rPr>
      </w:pPr>
      <w:r w:rsidRPr="00135689">
        <w:rPr>
          <w:rFonts w:ascii="Arial" w:hAnsi="Arial" w:cs="Arial"/>
        </w:rPr>
        <w:tab/>
      </w:r>
      <w:r w:rsidRPr="00135689">
        <w:rPr>
          <w:rFonts w:ascii="Arial" w:hAnsi="Arial" w:cs="Arial"/>
        </w:rPr>
        <w:tab/>
        <w:t xml:space="preserve">              </w:t>
      </w:r>
      <w:r>
        <w:rPr>
          <w:rFonts w:ascii="Arial" w:hAnsi="Arial" w:cs="Arial"/>
        </w:rPr>
        <w:t xml:space="preserve">                                                            </w:t>
      </w:r>
      <w:r w:rsidRPr="00135689">
        <w:rPr>
          <w:rFonts w:ascii="Arial" w:hAnsi="Arial" w:cs="Arial"/>
        </w:rPr>
        <w:t xml:space="preserve">NESCO LTD </w:t>
      </w:r>
    </w:p>
    <w:p w:rsidR="00A15BF5" w:rsidRPr="00135689" w:rsidRDefault="00A15BF5" w:rsidP="00A15BF5">
      <w:pPr>
        <w:pStyle w:val="NoSpacing"/>
        <w:rPr>
          <w:rFonts w:ascii="Arial" w:hAnsi="Arial" w:cs="Arial"/>
          <w:b/>
        </w:rPr>
      </w:pPr>
      <w:r w:rsidRPr="00135689">
        <w:rPr>
          <w:rFonts w:ascii="Arial" w:hAnsi="Arial" w:cs="Arial"/>
          <w:b/>
        </w:rPr>
        <w:t>Balasore</w:t>
      </w:r>
    </w:p>
    <w:p w:rsidR="00A15BF5" w:rsidRPr="00135689" w:rsidRDefault="00A15BF5" w:rsidP="00A15BF5">
      <w:pPr>
        <w:pStyle w:val="NoSpacing"/>
        <w:rPr>
          <w:rFonts w:ascii="Arial" w:hAnsi="Arial" w:cs="Arial"/>
          <w:b/>
        </w:rPr>
      </w:pPr>
      <w:r w:rsidRPr="00135689">
        <w:rPr>
          <w:rFonts w:ascii="Arial" w:hAnsi="Arial" w:cs="Arial"/>
          <w:b/>
        </w:rPr>
        <w:t>31.01.13</w:t>
      </w:r>
      <w:r w:rsidRPr="00135689">
        <w:rPr>
          <w:rFonts w:ascii="Arial" w:hAnsi="Arial" w:cs="Arial"/>
          <w:b/>
        </w:rPr>
        <w:tab/>
      </w:r>
      <w:r w:rsidRPr="00135689">
        <w:rPr>
          <w:rFonts w:ascii="Arial" w:hAnsi="Arial" w:cs="Arial"/>
          <w:b/>
        </w:rPr>
        <w:tab/>
      </w:r>
      <w:r w:rsidRPr="00135689">
        <w:rPr>
          <w:rFonts w:ascii="Arial" w:hAnsi="Arial" w:cs="Arial"/>
          <w:b/>
        </w:rPr>
        <w:tab/>
      </w:r>
    </w:p>
    <w:p w:rsidR="00A15BF5" w:rsidRPr="00135689" w:rsidRDefault="00A15BF5" w:rsidP="00A15BF5">
      <w:pPr>
        <w:pStyle w:val="NoSpacing"/>
        <w:rPr>
          <w:rFonts w:ascii="Arial" w:hAnsi="Arial" w:cs="Arial"/>
          <w:b/>
        </w:rPr>
      </w:pPr>
      <w:r w:rsidRPr="00135689">
        <w:rPr>
          <w:rFonts w:ascii="Arial" w:hAnsi="Arial" w:cs="Arial"/>
          <w:b/>
        </w:rPr>
        <w:t xml:space="preserve">                                    </w:t>
      </w:r>
      <w:r>
        <w:rPr>
          <w:rFonts w:ascii="Arial" w:hAnsi="Arial" w:cs="Arial"/>
          <w:b/>
        </w:rPr>
        <w:t xml:space="preserve">                                                           </w:t>
      </w:r>
      <w:r w:rsidRPr="00135689">
        <w:rPr>
          <w:rFonts w:ascii="Arial" w:hAnsi="Arial" w:cs="Arial"/>
          <w:b/>
        </w:rPr>
        <w:t>General Manager</w:t>
      </w:r>
    </w:p>
    <w:p w:rsidR="00A15BF5" w:rsidRDefault="00A15BF5" w:rsidP="00A15BF5">
      <w:pPr>
        <w:pStyle w:val="NoSpacing"/>
        <w:rPr>
          <w:rFonts w:ascii="Arial" w:hAnsi="Arial" w:cs="Arial"/>
          <w:b/>
        </w:rPr>
      </w:pPr>
      <w:r w:rsidRPr="00135689">
        <w:rPr>
          <w:rFonts w:ascii="Arial" w:hAnsi="Arial" w:cs="Arial"/>
          <w:b/>
        </w:rPr>
        <w:t xml:space="preserve">                                                                          </w:t>
      </w:r>
      <w:r>
        <w:rPr>
          <w:rFonts w:ascii="Arial" w:hAnsi="Arial" w:cs="Arial"/>
          <w:b/>
        </w:rPr>
        <w:t xml:space="preserve">                   </w:t>
      </w:r>
      <w:r w:rsidRPr="00135689">
        <w:rPr>
          <w:rFonts w:ascii="Arial" w:hAnsi="Arial" w:cs="Arial"/>
          <w:b/>
        </w:rPr>
        <w:t xml:space="preserve"> </w:t>
      </w:r>
      <w:proofErr w:type="gramStart"/>
      <w:r w:rsidRPr="00135689">
        <w:rPr>
          <w:rFonts w:ascii="Arial" w:hAnsi="Arial" w:cs="Arial"/>
          <w:b/>
        </w:rPr>
        <w:t>(RA, AO &amp; Comm.)</w:t>
      </w:r>
      <w:proofErr w:type="gramEnd"/>
    </w:p>
    <w:p w:rsidR="000B44FF" w:rsidRPr="00A15BF5" w:rsidRDefault="00B87F6B" w:rsidP="006232D6">
      <w:pPr>
        <w:jc w:val="both"/>
        <w:rPr>
          <w:rFonts w:ascii="Arial" w:hAnsi="Arial" w:cs="Arial"/>
        </w:rPr>
      </w:pPr>
      <w:proofErr w:type="gramStart"/>
      <w:r w:rsidRPr="00A15BF5">
        <w:rPr>
          <w:rFonts w:ascii="Arial" w:hAnsi="Arial" w:cs="Arial"/>
        </w:rPr>
        <w:t xml:space="preserve">C.C. to </w:t>
      </w:r>
      <w:r w:rsidR="00C72E53" w:rsidRPr="00C72E53">
        <w:rPr>
          <w:rFonts w:ascii="Arial" w:hAnsi="Arial" w:cs="Arial"/>
        </w:rPr>
        <w:t xml:space="preserve">Sri M.V. </w:t>
      </w:r>
      <w:proofErr w:type="spellStart"/>
      <w:r w:rsidR="00C72E53" w:rsidRPr="00C72E53">
        <w:rPr>
          <w:rFonts w:ascii="Arial" w:hAnsi="Arial" w:cs="Arial"/>
        </w:rPr>
        <w:t>Rao</w:t>
      </w:r>
      <w:proofErr w:type="spellEnd"/>
      <w:r w:rsidR="00C72E53" w:rsidRPr="00C72E53">
        <w:rPr>
          <w:rFonts w:ascii="Arial" w:hAnsi="Arial" w:cs="Arial"/>
        </w:rPr>
        <w:t xml:space="preserve">, Resident Manager, M/s Ferro Alloys Corporation Ltd., GD.2/10, </w:t>
      </w:r>
      <w:proofErr w:type="spellStart"/>
      <w:r w:rsidR="00C72E53" w:rsidRPr="00C72E53">
        <w:rPr>
          <w:rFonts w:ascii="Arial" w:hAnsi="Arial" w:cs="Arial"/>
        </w:rPr>
        <w:t>Chandrasekharpur</w:t>
      </w:r>
      <w:proofErr w:type="spellEnd"/>
      <w:r w:rsidR="00C72E53" w:rsidRPr="00C72E53">
        <w:rPr>
          <w:rFonts w:ascii="Arial" w:hAnsi="Arial" w:cs="Arial"/>
        </w:rPr>
        <w:t>, Bhubaneswar-751023</w:t>
      </w:r>
      <w:r w:rsidR="006232D6">
        <w:rPr>
          <w:rFonts w:ascii="Arial" w:hAnsi="Arial" w:cs="Arial"/>
        </w:rPr>
        <w:t>.</w:t>
      </w:r>
      <w:proofErr w:type="gramEnd"/>
    </w:p>
    <w:sectPr w:rsidR="000B44FF" w:rsidRPr="00A15BF5" w:rsidSect="001E00FF">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541D2"/>
    <w:multiLevelType w:val="hybridMultilevel"/>
    <w:tmpl w:val="77BE3A60"/>
    <w:lvl w:ilvl="0" w:tplc="7A2A2E78">
      <w:start w:val="1"/>
      <w:numFmt w:val="decimal"/>
      <w:lvlText w:val="%1."/>
      <w:lvlJc w:val="left"/>
      <w:pPr>
        <w:tabs>
          <w:tab w:val="num" w:pos="630"/>
        </w:tabs>
        <w:ind w:left="63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D48678D"/>
    <w:multiLevelType w:val="hybridMultilevel"/>
    <w:tmpl w:val="30022178"/>
    <w:lvl w:ilvl="0" w:tplc="4009000F">
      <w:start w:val="8"/>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36337365"/>
    <w:multiLevelType w:val="hybridMultilevel"/>
    <w:tmpl w:val="CDFA931A"/>
    <w:lvl w:ilvl="0" w:tplc="C940314E">
      <w:start w:val="6"/>
      <w:numFmt w:val="decimal"/>
      <w:lvlText w:val="%1."/>
      <w:lvlJc w:val="left"/>
      <w:pPr>
        <w:ind w:left="990" w:hanging="360"/>
      </w:pPr>
      <w:rPr>
        <w:rFonts w:hint="default"/>
        <w:b/>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
    <w:nsid w:val="565F3A02"/>
    <w:multiLevelType w:val="hybridMultilevel"/>
    <w:tmpl w:val="39444C64"/>
    <w:lvl w:ilvl="0" w:tplc="FD72AA74">
      <w:start w:val="1"/>
      <w:numFmt w:val="decimal"/>
      <w:lvlText w:val="%1."/>
      <w:lvlJc w:val="left"/>
      <w:pPr>
        <w:tabs>
          <w:tab w:val="num" w:pos="1080"/>
        </w:tabs>
        <w:ind w:left="1080" w:hanging="72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useFELayout/>
  </w:compat>
  <w:rsids>
    <w:rsidRoot w:val="00B87F6B"/>
    <w:rsid w:val="000B44FF"/>
    <w:rsid w:val="001C16F1"/>
    <w:rsid w:val="001E00FF"/>
    <w:rsid w:val="00380125"/>
    <w:rsid w:val="003C5918"/>
    <w:rsid w:val="00582394"/>
    <w:rsid w:val="005A6EF8"/>
    <w:rsid w:val="006232D6"/>
    <w:rsid w:val="0066150F"/>
    <w:rsid w:val="00A058A3"/>
    <w:rsid w:val="00A15BF5"/>
    <w:rsid w:val="00A66DD6"/>
    <w:rsid w:val="00AA6171"/>
    <w:rsid w:val="00B87F6B"/>
    <w:rsid w:val="00C72E53"/>
    <w:rsid w:val="00D3103D"/>
    <w:rsid w:val="00D47BE5"/>
    <w:rsid w:val="00D6467C"/>
    <w:rsid w:val="00DE3F83"/>
    <w:rsid w:val="00E9025E"/>
    <w:rsid w:val="00F32C26"/>
    <w:rsid w:val="00F37DE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00F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B87F6B"/>
    <w:pPr>
      <w:spacing w:after="0" w:line="240" w:lineRule="auto"/>
      <w:ind w:left="2340" w:hanging="2340"/>
    </w:pPr>
    <w:rPr>
      <w:rFonts w:ascii="Times New Roman" w:eastAsia="Times New Roman" w:hAnsi="Times New Roman" w:cs="Times New Roman"/>
      <w:sz w:val="24"/>
      <w:szCs w:val="24"/>
      <w:lang w:val="en-US" w:eastAsia="en-US"/>
    </w:rPr>
  </w:style>
  <w:style w:type="character" w:customStyle="1" w:styleId="BodyTextIndent2Char">
    <w:name w:val="Body Text Indent 2 Char"/>
    <w:basedOn w:val="DefaultParagraphFont"/>
    <w:link w:val="BodyTextIndent2"/>
    <w:rsid w:val="00B87F6B"/>
    <w:rPr>
      <w:rFonts w:ascii="Times New Roman" w:eastAsia="Times New Roman" w:hAnsi="Times New Roman" w:cs="Times New Roman"/>
      <w:sz w:val="24"/>
      <w:szCs w:val="24"/>
      <w:lang w:val="en-US" w:eastAsia="en-US"/>
    </w:rPr>
  </w:style>
  <w:style w:type="character" w:styleId="Hyperlink">
    <w:name w:val="Hyperlink"/>
    <w:basedOn w:val="DefaultParagraphFont"/>
    <w:rsid w:val="00B87F6B"/>
    <w:rPr>
      <w:color w:val="0000FF"/>
      <w:u w:val="single"/>
    </w:rPr>
  </w:style>
  <w:style w:type="paragraph" w:styleId="ListParagraph">
    <w:name w:val="List Paragraph"/>
    <w:basedOn w:val="Normal"/>
    <w:uiPriority w:val="34"/>
    <w:qFormat/>
    <w:rsid w:val="00B87F6B"/>
    <w:pPr>
      <w:ind w:left="720"/>
      <w:contextualSpacing/>
    </w:pPr>
  </w:style>
  <w:style w:type="paragraph" w:styleId="BodyText2">
    <w:name w:val="Body Text 2"/>
    <w:basedOn w:val="Normal"/>
    <w:link w:val="BodyText2Char"/>
    <w:uiPriority w:val="99"/>
    <w:semiHidden/>
    <w:unhideWhenUsed/>
    <w:rsid w:val="00B87F6B"/>
    <w:pPr>
      <w:spacing w:after="120" w:line="480" w:lineRule="auto"/>
    </w:pPr>
  </w:style>
  <w:style w:type="character" w:customStyle="1" w:styleId="BodyText2Char">
    <w:name w:val="Body Text 2 Char"/>
    <w:basedOn w:val="DefaultParagraphFont"/>
    <w:link w:val="BodyText2"/>
    <w:uiPriority w:val="99"/>
    <w:semiHidden/>
    <w:rsid w:val="00B87F6B"/>
  </w:style>
  <w:style w:type="paragraph" w:styleId="NoSpacing">
    <w:name w:val="No Spacing"/>
    <w:uiPriority w:val="1"/>
    <w:qFormat/>
    <w:rsid w:val="00B87F6B"/>
    <w:pPr>
      <w:spacing w:after="0" w:line="240" w:lineRule="auto"/>
    </w:pPr>
  </w:style>
  <w:style w:type="paragraph" w:styleId="BodyTextIndent3">
    <w:name w:val="Body Text Indent 3"/>
    <w:basedOn w:val="Normal"/>
    <w:link w:val="BodyTextIndent3Char"/>
    <w:uiPriority w:val="99"/>
    <w:semiHidden/>
    <w:unhideWhenUsed/>
    <w:rsid w:val="00582394"/>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582394"/>
    <w:rPr>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nescoodisha.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2</Pages>
  <Words>937</Words>
  <Characters>5344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 2</dc:creator>
  <cp:keywords/>
  <dc:description/>
  <cp:lastModifiedBy>Sudip</cp:lastModifiedBy>
  <cp:revision>9</cp:revision>
  <dcterms:created xsi:type="dcterms:W3CDTF">2013-01-29T07:27:00Z</dcterms:created>
  <dcterms:modified xsi:type="dcterms:W3CDTF">2013-01-31T08:05:00Z</dcterms:modified>
</cp:coreProperties>
</file>